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-2647927</wp:posOffset>
            </wp:positionH>
            <wp:positionV relativeFrom="paragraph">
              <wp:posOffset>-914375</wp:posOffset>
            </wp:positionV>
            <wp:extent cx="5732145" cy="4373880"/>
            <wp:effectExtent b="0" l="0" r="0" t="0"/>
            <wp:wrapNone/>
            <wp:docPr id="1597007114"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-389865</wp:posOffset>
            </wp:positionH>
            <wp:positionV relativeFrom="paragraph">
              <wp:posOffset>-514322</wp:posOffset>
            </wp:positionV>
            <wp:extent cx="3048000" cy="834853"/>
            <wp:effectExtent b="0" l="0" r="0" t="0"/>
            <wp:wrapNone/>
            <wp:docPr id="1597007115"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469900</wp:posOffset>
                </wp:positionH>
                <wp:positionV relativeFrom="paragraph">
                  <wp:posOffset>109220</wp:posOffset>
                </wp:positionV>
                <wp:extent cx="4609465" cy="851535"/>
                <wp:effectExtent b="0" l="0" r="0" t="0"/>
                <wp:wrapSquare wrapText="bothSides" distB="45720" distT="45720" distL="114300" distR="114300"/>
                <wp:docPr id="1597007112" name=""/>
                <a:graphic>
                  <a:graphicData uri="http://schemas.microsoft.com/office/word/2010/wordprocessingShape">
                    <wps:wsp>
                      <wps:cNvSpPr/>
                      <wps:cNvPr id="3" name="Shape 3"/>
                      <wps:spPr>
                        <a:xfrm>
                          <a:off x="3050793" y="3363758"/>
                          <a:ext cx="4590415" cy="832485"/>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PIANO DI LEZIONE</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469900</wp:posOffset>
                </wp:positionH>
                <wp:positionV relativeFrom="paragraph">
                  <wp:posOffset>109220</wp:posOffset>
                </wp:positionV>
                <wp:extent cx="4609465" cy="851535"/>
                <wp:effectExtent b="0" l="0" r="0" t="0"/>
                <wp:wrapSquare wrapText="bothSides" distB="45720" distT="45720" distL="114300" distR="114300"/>
                <wp:docPr id="1597007112"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609465" cy="851535"/>
                        </a:xfrm>
                        <a:prstGeom prst="rect"/>
                        <a:ln/>
                      </pic:spPr>
                    </pic:pic>
                  </a:graphicData>
                </a:graphic>
              </wp:anchor>
            </w:drawing>
          </mc:Fallback>
        </mc:AlternateConten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342900</wp:posOffset>
                </wp:positionH>
                <wp:positionV relativeFrom="paragraph">
                  <wp:posOffset>45720</wp:posOffset>
                </wp:positionV>
                <wp:extent cx="4867275" cy="1125855"/>
                <wp:effectExtent b="0" l="0" r="0" t="0"/>
                <wp:wrapSquare wrapText="bothSides" distB="45720" distT="45720" distL="114300" distR="114300"/>
                <wp:docPr id="1597007111" name=""/>
                <a:graphic>
                  <a:graphicData uri="http://schemas.microsoft.com/office/word/2010/wordprocessingShape">
                    <wps:wsp>
                      <wps:cNvSpPr/>
                      <wps:cNvPr id="2" name="Shape 2"/>
                      <wps:spPr>
                        <a:xfrm>
                          <a:off x="2921888" y="3226598"/>
                          <a:ext cx="4848225" cy="1106805"/>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Formazione del personale docente per una didattica dell’informatica autentica e inclusiva in termini di genere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342900</wp:posOffset>
                </wp:positionH>
                <wp:positionV relativeFrom="paragraph">
                  <wp:posOffset>45720</wp:posOffset>
                </wp:positionV>
                <wp:extent cx="4867275" cy="1125855"/>
                <wp:effectExtent b="0" l="0" r="0" t="0"/>
                <wp:wrapSquare wrapText="bothSides" distB="45720" distT="45720" distL="114300" distR="114300"/>
                <wp:docPr id="1597007111"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867275" cy="1125855"/>
                        </a:xfrm>
                        <a:prstGeom prst="rect"/>
                        <a:ln/>
                      </pic:spPr>
                    </pic:pic>
                  </a:graphicData>
                </a:graphic>
              </wp:anchor>
            </w:drawing>
          </mc:Fallback>
        </mc:AlternateConten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117" name="image3.jpg"/>
            <a:graphic>
              <a:graphicData uri="http://schemas.openxmlformats.org/drawingml/2006/picture">
                <pic:pic>
                  <pic:nvPicPr>
                    <pic:cNvPr id="0" name="image3.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INFORMAZIONI GENERALI</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Modulo</w:t>
            </w:r>
            <w:r w:rsidDel="00000000" w:rsidR="00000000" w:rsidRPr="00000000">
              <w:rPr>
                <w:rtl w:val="0"/>
              </w:rPr>
            </w:r>
          </w:p>
        </w:tc>
        <w:tc>
          <w:tcPr/>
          <w:p w:rsidR="00000000" w:rsidDel="00000000" w:rsidP="00000000" w:rsidRDefault="00000000" w:rsidRPr="00000000" w14:paraId="00000012">
            <w:pPr>
              <w:rPr>
                <w:b w:val="1"/>
                <w:i w:val="1"/>
              </w:rPr>
            </w:pPr>
            <w:r w:rsidDel="00000000" w:rsidR="00000000" w:rsidRPr="00000000">
              <w:rPr>
                <w:b w:val="1"/>
                <w:i w:val="1"/>
                <w:rtl w:val="0"/>
              </w:rPr>
              <w:t xml:space="preserve">Modulo 8: Laboratorio: co-progettazione e valutazione degli scenari di apprendimento per l’insegnamento e la valutazione dell’informatica nella scuola primaria in base al quadro di TINKER</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Unità</w:t>
            </w:r>
          </w:p>
        </w:tc>
        <w:tc>
          <w:tcPr/>
          <w:p w:rsidR="00000000" w:rsidDel="00000000" w:rsidP="00000000" w:rsidRDefault="00000000" w:rsidRPr="00000000" w14:paraId="00000014">
            <w:pPr>
              <w:spacing w:after="160" w:line="259" w:lineRule="auto"/>
              <w:rPr>
                <w:i w:val="1"/>
              </w:rPr>
            </w:pPr>
            <w:r w:rsidDel="00000000" w:rsidR="00000000" w:rsidRPr="00000000">
              <w:rPr>
                <w:i w:val="1"/>
                <w:rtl w:val="0"/>
              </w:rPr>
              <w:t xml:space="preserve">8.3</w:t>
            </w:r>
            <w:r w:rsidDel="00000000" w:rsidR="00000000" w:rsidRPr="00000000">
              <w:rPr>
                <w:b w:val="1"/>
                <w:rtl w:val="0"/>
              </w:rPr>
              <w:t xml:space="preserve">:</w:t>
            </w:r>
            <w:r w:rsidDel="00000000" w:rsidR="00000000" w:rsidRPr="00000000">
              <w:rPr>
                <w:i w:val="1"/>
                <w:rtl w:val="0"/>
              </w:rPr>
              <w:t xml:space="preserve"> Fase dedicata al lavoro di gruppo – sviluppare l’apprendimento </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Gruppo target</w:t>
            </w:r>
          </w:p>
        </w:tc>
        <w:tc>
          <w:tcPr/>
          <w:p w:rsidR="00000000" w:rsidDel="00000000" w:rsidP="00000000" w:rsidRDefault="00000000" w:rsidRPr="00000000" w14:paraId="00000016">
            <w:pPr>
              <w:rPr/>
            </w:pPr>
            <w:r w:rsidDel="00000000" w:rsidR="00000000" w:rsidRPr="00000000">
              <w:rPr>
                <w:rtl w:val="0"/>
              </w:rPr>
              <w:t xml:space="preserve">Personale docente/formatore della scuola primaria </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Durata</w:t>
            </w:r>
          </w:p>
        </w:tc>
        <w:tc>
          <w:tcPr/>
          <w:p w:rsidR="00000000" w:rsidDel="00000000" w:rsidP="00000000" w:rsidRDefault="00000000" w:rsidRPr="00000000" w14:paraId="00000018">
            <w:pPr>
              <w:rPr/>
            </w:pPr>
            <w:r w:rsidDel="00000000" w:rsidR="00000000" w:rsidRPr="00000000">
              <w:rPr>
                <w:rtl w:val="0"/>
              </w:rPr>
              <w:t xml:space="preserve">270 minuti (incluso il tempo dedicato allo studio autonomo)</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Prerequisiti</w:t>
            </w:r>
          </w:p>
        </w:tc>
        <w:tc>
          <w:tcPr/>
          <w:p w:rsidR="00000000" w:rsidDel="00000000" w:rsidP="00000000" w:rsidRDefault="00000000" w:rsidRPr="00000000" w14:paraId="0000001A">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0,172</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RISULTATI DI APPRENDIMENTO</w:t>
            </w:r>
          </w:p>
        </w:tc>
      </w:tr>
      <w:tr>
        <w:trPr>
          <w:cantSplit w:val="0"/>
          <w:trHeight w:val="410" w:hRule="atLeast"/>
          <w:tblHeader w:val="0"/>
        </w:trPr>
        <w:tc>
          <w:tcPr/>
          <w:p w:rsidR="00000000" w:rsidDel="00000000" w:rsidP="00000000" w:rsidRDefault="00000000" w:rsidRPr="00000000" w14:paraId="00000020">
            <w:pPr>
              <w:rPr/>
            </w:pPr>
            <w:r w:rsidDel="00000000" w:rsidR="00000000" w:rsidRPr="00000000">
              <w:rPr>
                <w:rtl w:val="0"/>
              </w:rPr>
              <w:t xml:space="preserve">1</w:t>
            </w:r>
          </w:p>
        </w:tc>
        <w:tc>
          <w:tcPr>
            <w:vAlign w:val="center"/>
          </w:tcPr>
          <w:p w:rsidR="00000000" w:rsidDel="00000000" w:rsidP="00000000" w:rsidRDefault="00000000" w:rsidRPr="00000000" w14:paraId="00000021">
            <w:pPr>
              <w:widowControl w:val="0"/>
              <w:spacing w:line="216" w:lineRule="auto"/>
              <w:rPr/>
            </w:pPr>
            <w:r w:rsidDel="00000000" w:rsidR="00000000" w:rsidRPr="00000000">
              <w:rPr>
                <w:rtl w:val="0"/>
              </w:rPr>
              <w:t xml:space="preserve">Sviluppare scenari di apprendimento chiari e significativi in linea con gli obiettivi del progetto e del programma.</w:t>
            </w:r>
          </w:p>
        </w:tc>
      </w:tr>
      <w:tr>
        <w:trPr>
          <w:cantSplit w:val="0"/>
          <w:trHeight w:val="653"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widowControl w:val="0"/>
              <w:spacing w:line="216" w:lineRule="auto"/>
              <w:rPr>
                <w:b w:val="1"/>
              </w:rPr>
            </w:pPr>
            <w:r w:rsidDel="00000000" w:rsidR="00000000" w:rsidRPr="00000000">
              <w:rPr>
                <w:rtl w:val="0"/>
              </w:rPr>
              <w:t xml:space="preserve">Integrare le strategie di differenziazione e inclusione per rispondere alle diverse esigenze di apprendimento delle e dei discenti attraverso gli scenari di apprendimento </w:t>
            </w:r>
            <w:r w:rsidDel="00000000" w:rsidR="00000000" w:rsidRPr="00000000">
              <w:rPr>
                <w:rtl w:val="0"/>
              </w:rPr>
            </w:r>
          </w:p>
        </w:tc>
      </w:tr>
    </w:tbl>
    <w:p w:rsidR="00000000" w:rsidDel="00000000" w:rsidP="00000000" w:rsidRDefault="00000000" w:rsidRPr="00000000" w14:paraId="00000024">
      <w:pPr>
        <w:tabs>
          <w:tab w:val="left" w:leader="none" w:pos="6264"/>
        </w:tabs>
        <w:spacing w:after="0" w:lineRule="auto"/>
        <w:rPr/>
      </w:pPr>
      <w:r w:rsidDel="00000000" w:rsidR="00000000" w:rsidRPr="00000000">
        <w:rPr>
          <w:rtl w:val="0"/>
        </w:rPr>
      </w:r>
    </w:p>
    <w:p w:rsidR="00000000" w:rsidDel="00000000" w:rsidP="00000000" w:rsidRDefault="00000000" w:rsidRPr="00000000" w14:paraId="00000025">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6">
            <w:pPr>
              <w:rPr>
                <w:color w:val="f2f2f2"/>
                <w:sz w:val="24"/>
                <w:szCs w:val="24"/>
              </w:rPr>
            </w:pPr>
            <w:r w:rsidDel="00000000" w:rsidR="00000000" w:rsidRPr="00000000">
              <w:rPr>
                <w:color w:val="f2f2f2"/>
                <w:sz w:val="24"/>
                <w:szCs w:val="24"/>
                <w:rtl w:val="0"/>
              </w:rPr>
              <w:t xml:space="preserve">METODI DI INSEGNAMENTO</w:t>
            </w:r>
          </w:p>
        </w:tc>
      </w:tr>
      <w:tr>
        <w:trPr>
          <w:cantSplit w:val="0"/>
          <w:trHeight w:val="410" w:hRule="atLeast"/>
          <w:tblHeader w:val="0"/>
        </w:trPr>
        <w:tc>
          <w:tcPr>
            <w:vAlign w:val="center"/>
          </w:tcPr>
          <w:p w:rsidR="00000000" w:rsidDel="00000000" w:rsidP="00000000" w:rsidRDefault="00000000" w:rsidRPr="00000000" w14:paraId="0000002B">
            <w:pPr>
              <w:jc w:val="center"/>
              <w:rPr/>
            </w:pPr>
            <w:r w:rsidDel="00000000" w:rsidR="00000000" w:rsidRPr="00000000">
              <w:rPr>
                <w:rtl w:val="0"/>
              </w:rPr>
              <w:t xml:space="preserve">√</w:t>
            </w:r>
          </w:p>
        </w:tc>
        <w:tc>
          <w:tcPr/>
          <w:p w:rsidR="00000000" w:rsidDel="00000000" w:rsidP="00000000" w:rsidRDefault="00000000" w:rsidRPr="00000000" w14:paraId="0000002C">
            <w:pPr>
              <w:rPr/>
            </w:pPr>
            <w:r w:rsidDel="00000000" w:rsidR="00000000" w:rsidRPr="00000000">
              <w:rPr>
                <w:i w:val="1"/>
                <w:color w:val="1d1d1b"/>
                <w:rtl w:val="0"/>
              </w:rPr>
              <w:t xml:space="preserve">Learning by doing</w:t>
            </w:r>
            <w:r w:rsidDel="00000000" w:rsidR="00000000" w:rsidRPr="00000000">
              <w:rPr>
                <w:rtl w:val="0"/>
              </w:rPr>
            </w:r>
          </w:p>
        </w:tc>
        <w:tc>
          <w:tcPr>
            <w:vAlign w:val="center"/>
          </w:tcPr>
          <w:p w:rsidR="00000000" w:rsidDel="00000000" w:rsidP="00000000" w:rsidRDefault="00000000" w:rsidRPr="00000000" w14:paraId="0000002D">
            <w:pPr>
              <w:jc w:val="center"/>
              <w:rPr/>
            </w:pPr>
            <w:r w:rsidDel="00000000" w:rsidR="00000000" w:rsidRPr="00000000">
              <w:rPr>
                <w:rtl w:val="0"/>
              </w:rPr>
            </w:r>
          </w:p>
        </w:tc>
        <w:tc>
          <w:tcPr/>
          <w:p w:rsidR="00000000" w:rsidDel="00000000" w:rsidP="00000000" w:rsidRDefault="00000000" w:rsidRPr="00000000" w14:paraId="0000002E">
            <w:pPr>
              <w:rPr/>
            </w:pPr>
            <w:r w:rsidDel="00000000" w:rsidR="00000000" w:rsidRPr="00000000">
              <w:rPr>
                <w:color w:val="1d1d1b"/>
                <w:rtl w:val="0"/>
              </w:rPr>
              <w:t xml:space="preserve">Apprendimento tra pari</w:t>
            </w:r>
            <w:r w:rsidDel="00000000" w:rsidR="00000000" w:rsidRPr="00000000">
              <w:rPr>
                <w:rtl w:val="0"/>
              </w:rPr>
            </w:r>
          </w:p>
        </w:tc>
      </w:tr>
      <w:tr>
        <w:trPr>
          <w:cantSplit w:val="0"/>
          <w:trHeight w:val="417" w:hRule="atLeast"/>
          <w:tblHeader w:val="0"/>
        </w:trPr>
        <w:tc>
          <w:tcPr>
            <w:vAlign w:val="center"/>
          </w:tcPr>
          <w:p w:rsidR="00000000" w:rsidDel="00000000" w:rsidP="00000000" w:rsidRDefault="00000000" w:rsidRPr="00000000" w14:paraId="0000002F">
            <w:pPr>
              <w:jc w:val="center"/>
              <w:rPr/>
            </w:pPr>
            <w:r w:rsidDel="00000000" w:rsidR="00000000" w:rsidRPr="00000000">
              <w:rPr>
                <w:rtl w:val="0"/>
              </w:rPr>
              <w:t xml:space="preserve">√</w:t>
            </w:r>
          </w:p>
        </w:tc>
        <w:tc>
          <w:tcPr/>
          <w:p w:rsidR="00000000" w:rsidDel="00000000" w:rsidP="00000000" w:rsidRDefault="00000000" w:rsidRPr="00000000" w14:paraId="00000030">
            <w:pPr>
              <w:rPr/>
            </w:pPr>
            <w:r w:rsidDel="00000000" w:rsidR="00000000" w:rsidRPr="00000000">
              <w:rPr>
                <w:color w:val="1d1d1b"/>
                <w:rtl w:val="0"/>
              </w:rPr>
              <w:t xml:space="preserve">Apprendimento basato su progetti</w:t>
            </w:r>
            <w:r w:rsidDel="00000000" w:rsidR="00000000" w:rsidRPr="00000000">
              <w:rPr>
                <w:rtl w:val="0"/>
              </w:rPr>
            </w:r>
          </w:p>
        </w:tc>
        <w:tc>
          <w:tcPr>
            <w:vAlign w:val="center"/>
          </w:tcPr>
          <w:p w:rsidR="00000000" w:rsidDel="00000000" w:rsidP="00000000" w:rsidRDefault="00000000" w:rsidRPr="00000000" w14:paraId="00000031">
            <w:pPr>
              <w:jc w:val="center"/>
              <w:rPr/>
            </w:pPr>
            <w:r w:rsidDel="00000000" w:rsidR="00000000" w:rsidRPr="00000000">
              <w:rPr>
                <w:rtl w:val="0"/>
              </w:rPr>
            </w:r>
          </w:p>
        </w:tc>
        <w:tc>
          <w:tcPr/>
          <w:p w:rsidR="00000000" w:rsidDel="00000000" w:rsidP="00000000" w:rsidRDefault="00000000" w:rsidRPr="00000000" w14:paraId="00000032">
            <w:pPr>
              <w:rPr/>
            </w:pPr>
            <w:r w:rsidDel="00000000" w:rsidR="00000000" w:rsidRPr="00000000">
              <w:rPr>
                <w:color w:val="1d1d1b"/>
                <w:rtl w:val="0"/>
              </w:rPr>
              <w:t xml:space="preserve">Apprendimento pratico</w:t>
            </w:r>
            <w:r w:rsidDel="00000000" w:rsidR="00000000" w:rsidRPr="00000000">
              <w:rPr>
                <w:rtl w:val="0"/>
              </w:rPr>
            </w:r>
          </w:p>
        </w:tc>
      </w:tr>
      <w:tr>
        <w:trPr>
          <w:cantSplit w:val="0"/>
          <w:trHeight w:val="409" w:hRule="atLeast"/>
          <w:tblHeader w:val="0"/>
        </w:trPr>
        <w:tc>
          <w:tcPr>
            <w:vAlign w:val="center"/>
          </w:tcPr>
          <w:p w:rsidR="00000000" w:rsidDel="00000000" w:rsidP="00000000" w:rsidRDefault="00000000" w:rsidRPr="00000000" w14:paraId="00000033">
            <w:pPr>
              <w:jc w:val="center"/>
              <w:rPr/>
            </w:pPr>
            <w:r w:rsidDel="00000000" w:rsidR="00000000" w:rsidRPr="00000000">
              <w:rPr>
                <w:rtl w:val="0"/>
              </w:rPr>
              <w:t xml:space="preserve">√</w:t>
            </w:r>
          </w:p>
        </w:tc>
        <w:tc>
          <w:tcPr/>
          <w:p w:rsidR="00000000" w:rsidDel="00000000" w:rsidP="00000000" w:rsidRDefault="00000000" w:rsidRPr="00000000" w14:paraId="00000034">
            <w:pPr>
              <w:rPr/>
            </w:pPr>
            <w:r w:rsidDel="00000000" w:rsidR="00000000" w:rsidRPr="00000000">
              <w:rPr>
                <w:color w:val="1d1d1b"/>
                <w:rtl w:val="0"/>
              </w:rPr>
              <w:t xml:space="preserve">Strategie di apprendimento attivo</w:t>
            </w:r>
            <w:r w:rsidDel="00000000" w:rsidR="00000000" w:rsidRPr="00000000">
              <w:rPr>
                <w:rtl w:val="0"/>
              </w:rPr>
            </w:r>
          </w:p>
        </w:tc>
        <w:tc>
          <w:tcPr>
            <w:vAlign w:val="center"/>
          </w:tcPr>
          <w:p w:rsidR="00000000" w:rsidDel="00000000" w:rsidP="00000000" w:rsidRDefault="00000000" w:rsidRPr="00000000" w14:paraId="00000035">
            <w:pPr>
              <w:jc w:val="center"/>
              <w:rPr/>
            </w:pPr>
            <w:r w:rsidDel="00000000" w:rsidR="00000000" w:rsidRPr="00000000">
              <w:rPr>
                <w:rtl w:val="0"/>
              </w:rPr>
            </w:r>
          </w:p>
        </w:tc>
        <w:tc>
          <w:tcPr/>
          <w:p w:rsidR="00000000" w:rsidDel="00000000" w:rsidP="00000000" w:rsidRDefault="00000000" w:rsidRPr="00000000" w14:paraId="00000036">
            <w:pPr>
              <w:rPr/>
            </w:pPr>
            <w:r w:rsidDel="00000000" w:rsidR="00000000" w:rsidRPr="00000000">
              <w:rPr>
                <w:color w:val="1d1d1b"/>
                <w:rtl w:val="0"/>
              </w:rPr>
              <w:t xml:space="preserve">Apprendimento collaborativo</w:t>
            </w:r>
            <w:r w:rsidDel="00000000" w:rsidR="00000000" w:rsidRPr="00000000">
              <w:rPr>
                <w:rtl w:val="0"/>
              </w:rPr>
            </w:r>
          </w:p>
        </w:tc>
      </w:tr>
      <w:tr>
        <w:trPr>
          <w:cantSplit w:val="0"/>
          <w:trHeight w:val="415" w:hRule="atLeast"/>
          <w:tblHeader w:val="0"/>
        </w:trPr>
        <w:tc>
          <w:tcPr>
            <w:vAlign w:val="center"/>
          </w:tcPr>
          <w:p w:rsidR="00000000" w:rsidDel="00000000" w:rsidP="00000000" w:rsidRDefault="00000000" w:rsidRPr="00000000" w14:paraId="00000037">
            <w:pPr>
              <w:jc w:val="center"/>
              <w:rPr/>
            </w:pPr>
            <w:r w:rsidDel="00000000" w:rsidR="00000000" w:rsidRPr="00000000">
              <w:rPr>
                <w:rtl w:val="0"/>
              </w:rPr>
              <w:t xml:space="preserve">√</w:t>
            </w:r>
          </w:p>
        </w:tc>
        <w:tc>
          <w:tcPr/>
          <w:p w:rsidR="00000000" w:rsidDel="00000000" w:rsidP="00000000" w:rsidRDefault="00000000" w:rsidRPr="00000000" w14:paraId="00000038">
            <w:pPr>
              <w:rPr/>
            </w:pPr>
            <w:r w:rsidDel="00000000" w:rsidR="00000000" w:rsidRPr="00000000">
              <w:rPr>
                <w:color w:val="1d1d1b"/>
                <w:rtl w:val="0"/>
              </w:rPr>
              <w:t xml:space="preserve">Apprendimento ibrido</w:t>
            </w:r>
            <w:r w:rsidDel="00000000" w:rsidR="00000000" w:rsidRPr="00000000">
              <w:rPr>
                <w:rtl w:val="0"/>
              </w:rPr>
            </w:r>
          </w:p>
        </w:tc>
        <w:tc>
          <w:tcPr>
            <w:vAlign w:val="center"/>
          </w:tcPr>
          <w:p w:rsidR="00000000" w:rsidDel="00000000" w:rsidP="00000000" w:rsidRDefault="00000000" w:rsidRPr="00000000" w14:paraId="00000039">
            <w:pPr>
              <w:jc w:val="center"/>
              <w:rPr/>
            </w:pPr>
            <w:r w:rsidDel="00000000" w:rsidR="00000000" w:rsidRPr="00000000">
              <w:rPr>
                <w:rtl w:val="0"/>
              </w:rPr>
            </w:r>
          </w:p>
        </w:tc>
        <w:tc>
          <w:tcPr/>
          <w:p w:rsidR="00000000" w:rsidDel="00000000" w:rsidP="00000000" w:rsidRDefault="00000000" w:rsidRPr="00000000" w14:paraId="0000003A">
            <w:pPr>
              <w:rPr/>
            </w:pPr>
            <w:r w:rsidDel="00000000" w:rsidR="00000000" w:rsidRPr="00000000">
              <w:rPr>
                <w:rtl w:val="0"/>
              </w:rPr>
            </w:r>
          </w:p>
        </w:tc>
      </w:tr>
    </w:tbl>
    <w:p w:rsidR="00000000" w:rsidDel="00000000" w:rsidP="00000000" w:rsidRDefault="00000000" w:rsidRPr="00000000" w14:paraId="0000003B">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C">
            <w:pPr>
              <w:rPr>
                <w:color w:val="f2f2f2"/>
                <w:sz w:val="24"/>
                <w:szCs w:val="24"/>
              </w:rPr>
            </w:pPr>
            <w:r w:rsidDel="00000000" w:rsidR="00000000" w:rsidRPr="00000000">
              <w:rPr>
                <w:color w:val="f2f2f2"/>
                <w:sz w:val="24"/>
                <w:szCs w:val="24"/>
                <w:rtl w:val="0"/>
              </w:rPr>
              <w:t xml:space="preserve">MATERIALE DIDATTICO</w:t>
            </w:r>
          </w:p>
        </w:tc>
      </w:tr>
      <w:tr>
        <w:trPr>
          <w:cantSplit w:val="0"/>
          <w:trHeight w:val="410" w:hRule="atLeast"/>
          <w:tblHeader w:val="0"/>
        </w:trPr>
        <w:tc>
          <w:tcPr/>
          <w:p w:rsidR="00000000" w:rsidDel="00000000" w:rsidP="00000000" w:rsidRDefault="00000000" w:rsidRPr="00000000" w14:paraId="0000003E">
            <w:pPr>
              <w:rPr>
                <w:color w:val="f2f2f2"/>
                <w:sz w:val="24"/>
                <w:szCs w:val="24"/>
              </w:rPr>
            </w:pPr>
            <w:r w:rsidDel="00000000" w:rsidR="00000000" w:rsidRPr="00000000">
              <w:rPr>
                <w:rtl w:val="0"/>
              </w:rPr>
              <w:t xml:space="preserve">Occorrente </w:t>
            </w:r>
            <w:r w:rsidDel="00000000" w:rsidR="00000000" w:rsidRPr="00000000">
              <w:rPr>
                <w:rtl w:val="0"/>
              </w:rPr>
            </w:r>
          </w:p>
        </w:tc>
        <w:tc>
          <w:tcPr/>
          <w:p w:rsidR="00000000" w:rsidDel="00000000" w:rsidP="00000000" w:rsidRDefault="00000000" w:rsidRPr="00000000" w14:paraId="0000003F">
            <w:pPr>
              <w:rPr/>
            </w:pPr>
            <w:r w:rsidDel="00000000" w:rsidR="00000000" w:rsidRPr="00000000">
              <w:rPr>
                <w:rtl w:val="0"/>
              </w:rPr>
              <w:t xml:space="preserve">Presentazione PowerPoint</w:t>
            </w:r>
          </w:p>
        </w:tc>
      </w:tr>
      <w:tr>
        <w:trPr>
          <w:cantSplit w:val="0"/>
          <w:trHeight w:val="417" w:hRule="atLeast"/>
          <w:tblHeader w:val="0"/>
        </w:trPr>
        <w:tc>
          <w:tcPr/>
          <w:p w:rsidR="00000000" w:rsidDel="00000000" w:rsidP="00000000" w:rsidRDefault="00000000" w:rsidRPr="00000000" w14:paraId="00000040">
            <w:pPr>
              <w:rPr/>
            </w:pPr>
            <w:r w:rsidDel="00000000" w:rsidR="00000000" w:rsidRPr="00000000">
              <w:rPr>
                <w:rtl w:val="0"/>
              </w:rPr>
              <w:t xml:space="preserve">Risorse aggiuntive</w:t>
            </w:r>
          </w:p>
        </w:tc>
        <w:tc>
          <w:tcPr/>
          <w:p w:rsidR="00000000" w:rsidDel="00000000" w:rsidP="00000000" w:rsidRDefault="00000000" w:rsidRPr="00000000" w14:paraId="00000041">
            <w:pPr>
              <w:rPr/>
            </w:pPr>
            <w:r w:rsidDel="00000000" w:rsidR="00000000" w:rsidRPr="00000000">
              <w:rPr>
                <w:rtl w:val="0"/>
              </w:rPr>
              <w:t xml:space="preserve">/ </w:t>
            </w:r>
          </w:p>
        </w:tc>
      </w:tr>
    </w:tbl>
    <w:p w:rsidR="00000000" w:rsidDel="00000000" w:rsidP="00000000" w:rsidRDefault="00000000" w:rsidRPr="00000000" w14:paraId="00000042">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3">
            <w:pPr>
              <w:rPr>
                <w:color w:val="f2f2f2"/>
                <w:sz w:val="24"/>
                <w:szCs w:val="24"/>
              </w:rPr>
            </w:pPr>
            <w:r w:rsidDel="00000000" w:rsidR="00000000" w:rsidRPr="00000000">
              <w:rPr>
                <w:color w:val="f2f2f2"/>
                <w:sz w:val="24"/>
                <w:szCs w:val="24"/>
                <w:rtl w:val="0"/>
              </w:rPr>
              <w:t xml:space="preserve">CONTENUTI DELL’UNITÀ  </w:t>
            </w:r>
          </w:p>
        </w:tc>
      </w:tr>
      <w:tr>
        <w:trPr>
          <w:cantSplit w:val="0"/>
          <w:trHeight w:val="410" w:hRule="atLeast"/>
          <w:tblHeader w:val="0"/>
        </w:trPr>
        <w:tc>
          <w:tcPr/>
          <w:p w:rsidR="00000000" w:rsidDel="00000000" w:rsidP="00000000" w:rsidRDefault="00000000" w:rsidRPr="00000000" w14:paraId="00000045">
            <w:pPr>
              <w:rPr/>
            </w:pPr>
            <w:r w:rsidDel="00000000" w:rsidR="00000000" w:rsidRPr="00000000">
              <w:rPr>
                <w:rtl w:val="0"/>
              </w:rPr>
              <w:t xml:space="preserve">Introduzione</w:t>
            </w:r>
          </w:p>
        </w:tc>
        <w:tc>
          <w:tcPr/>
          <w:p w:rsidR="00000000" w:rsidDel="00000000" w:rsidP="00000000" w:rsidRDefault="00000000" w:rsidRPr="00000000" w14:paraId="00000046">
            <w:pPr>
              <w:spacing w:after="200" w:lineRule="auto"/>
              <w:rPr/>
            </w:pPr>
            <w:r w:rsidDel="00000000" w:rsidR="00000000" w:rsidRPr="00000000">
              <w:rPr>
                <w:rtl w:val="0"/>
              </w:rPr>
              <w:t xml:space="preserve">Offri una breve panoramica sull’argomento e sul contesto della lezione. Spiega le ragioni per cui l’argomento trattato è importante e come si collega alle conoscenze precedentemente sviluppate.</w:t>
            </w:r>
          </w:p>
        </w:tc>
      </w:tr>
      <w:tr>
        <w:trPr>
          <w:cantSplit w:val="0"/>
          <w:trHeight w:val="417" w:hRule="atLeast"/>
          <w:tblHeader w:val="0"/>
        </w:trPr>
        <w:tc>
          <w:tcPr>
            <w:vMerge w:val="restart"/>
          </w:tcPr>
          <w:p w:rsidR="00000000" w:rsidDel="00000000" w:rsidP="00000000" w:rsidRDefault="00000000" w:rsidRPr="00000000" w14:paraId="00000047">
            <w:pPr>
              <w:rPr/>
            </w:pPr>
            <w:r w:rsidDel="00000000" w:rsidR="00000000" w:rsidRPr="00000000">
              <w:rPr>
                <w:rtl w:val="0"/>
              </w:rPr>
              <w:t xml:space="preserve">Attività</w:t>
            </w:r>
          </w:p>
          <w:p w:rsidR="00000000" w:rsidDel="00000000" w:rsidP="00000000" w:rsidRDefault="00000000" w:rsidRPr="00000000" w14:paraId="00000048">
            <w:pPr>
              <w:rPr/>
            </w:pPr>
            <w:r w:rsidDel="00000000" w:rsidR="00000000" w:rsidRPr="00000000">
              <w:rPr>
                <w:rtl w:val="0"/>
              </w:rPr>
            </w:r>
          </w:p>
        </w:tc>
        <w:tc>
          <w:tcPr/>
          <w:p w:rsidR="00000000" w:rsidDel="00000000" w:rsidP="00000000" w:rsidRDefault="00000000" w:rsidRPr="00000000" w14:paraId="00000049">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1.Fasi dello sviluppo del gruppo (10 min.)</w:t>
            </w:r>
          </w:p>
          <w:p w:rsidR="00000000" w:rsidDel="00000000" w:rsidP="00000000" w:rsidRDefault="00000000" w:rsidRPr="00000000" w14:paraId="0000004A">
            <w:pPr>
              <w:spacing w:after="200" w:lineRule="auto"/>
              <w:rPr/>
            </w:pPr>
            <w:r w:rsidDel="00000000" w:rsidR="00000000" w:rsidRPr="00000000">
              <w:rPr>
                <w:rtl w:val="0"/>
              </w:rPr>
              <w:br w:type="textWrapping"/>
              <w:t xml:space="preserve">Slide 5:</w:t>
            </w:r>
          </w:p>
          <w:p w:rsidR="00000000" w:rsidDel="00000000" w:rsidP="00000000" w:rsidRDefault="00000000" w:rsidRPr="00000000" w14:paraId="0000004B">
            <w:pPr>
              <w:numPr>
                <w:ilvl w:val="0"/>
                <w:numId w:val="2"/>
              </w:numPr>
              <w:ind w:left="720" w:hanging="360"/>
              <w:rPr/>
            </w:pPr>
            <w:r w:rsidDel="00000000" w:rsidR="00000000" w:rsidRPr="00000000">
              <w:rPr>
                <w:rtl w:val="0"/>
              </w:rPr>
              <w:t xml:space="preserve">All’inizio, la formatrice o il formatore aiuterà le e i partecipanti a formare i gruppi per permettere una collaborazione efficace. </w:t>
            </w:r>
          </w:p>
          <w:p w:rsidR="00000000" w:rsidDel="00000000" w:rsidP="00000000" w:rsidRDefault="00000000" w:rsidRPr="00000000" w14:paraId="0000004C">
            <w:pPr>
              <w:numPr>
                <w:ilvl w:val="0"/>
                <w:numId w:val="2"/>
              </w:numPr>
              <w:spacing w:after="200" w:lineRule="auto"/>
              <w:ind w:left="720" w:hanging="360"/>
              <w:rPr/>
            </w:pPr>
            <w:r w:rsidDel="00000000" w:rsidR="00000000" w:rsidRPr="00000000">
              <w:rPr>
                <w:rtl w:val="0"/>
              </w:rPr>
              <w:t xml:space="preserve">Successivamente, introdurrà le 5 fasi dello sviluppo di gruppo per permettere loro di riunirsi e di lavorare in modo opportuno. </w:t>
              <w:br w:type="textWrapping"/>
            </w:r>
          </w:p>
          <w:p w:rsidR="00000000" w:rsidDel="00000000" w:rsidP="00000000" w:rsidRDefault="00000000" w:rsidRPr="00000000" w14:paraId="0000004D">
            <w:pPr>
              <w:spacing w:after="200" w:lineRule="auto"/>
              <w:rPr/>
            </w:pPr>
            <w:r w:rsidDel="00000000" w:rsidR="00000000" w:rsidRPr="00000000">
              <w:rPr>
                <w:b w:val="1"/>
                <w:rtl w:val="0"/>
              </w:rPr>
              <w:t xml:space="preserve">Risultato:</w:t>
            </w:r>
            <w:r w:rsidDel="00000000" w:rsidR="00000000" w:rsidRPr="00000000">
              <w:rPr>
                <w:rtl w:val="0"/>
              </w:rPr>
              <w:t xml:space="preserve">  Le e i discenti comprenderanno le fasi che portano allo sviluppo del gruppo per raggiungere risultati migliori. </w:t>
            </w:r>
          </w:p>
        </w:tc>
      </w:tr>
      <w:tr>
        <w:trPr>
          <w:cantSplit w:val="0"/>
          <w:trHeight w:val="417" w:hRule="atLeast"/>
          <w:tblHeader w:val="0"/>
        </w:trPr>
        <w:tc>
          <w:tcPr>
            <w:vMerge w:val="continue"/>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4F">
            <w:pPr>
              <w:pStyle w:val="Heading3"/>
              <w:pBdr>
                <w:top w:space="0" w:sz="0" w:val="nil"/>
                <w:left w:space="0" w:sz="0" w:val="nil"/>
                <w:bottom w:space="0" w:sz="0" w:val="nil"/>
                <w:right w:space="0" w:sz="0" w:val="nil"/>
                <w:between w:space="0" w:sz="0" w:val="nil"/>
              </w:pBdr>
              <w:spacing w:after="80" w:before="280" w:lineRule="auto"/>
              <w:rPr>
                <w:i w:val="0"/>
                <w:u w:val="single"/>
              </w:rPr>
            </w:pPr>
            <w:bookmarkStart w:colFirst="0" w:colLast="0" w:name="_heading=h.ksuhxpser4wr" w:id="1"/>
            <w:bookmarkEnd w:id="1"/>
            <w:r w:rsidDel="00000000" w:rsidR="00000000" w:rsidRPr="00000000">
              <w:rPr>
                <w:i w:val="0"/>
                <w:u w:val="single"/>
                <w:rtl w:val="0"/>
              </w:rPr>
              <w:t xml:space="preserve">Attività 2: Formare il gruppo (30 min.) </w:t>
            </w:r>
          </w:p>
          <w:p w:rsidR="00000000" w:rsidDel="00000000" w:rsidP="00000000" w:rsidRDefault="00000000" w:rsidRPr="00000000" w14:paraId="00000050">
            <w:pPr>
              <w:rPr/>
            </w:pPr>
            <w:r w:rsidDel="00000000" w:rsidR="00000000" w:rsidRPr="00000000">
              <w:rPr>
                <w:rtl w:val="0"/>
              </w:rPr>
              <w:br w:type="textWrapping"/>
              <w:t xml:space="preserve">Slide 6:</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widowControl w:val="0"/>
              <w:numPr>
                <w:ilvl w:val="0"/>
                <w:numId w:val="1"/>
              </w:numPr>
              <w:ind w:left="720" w:hanging="360"/>
              <w:rPr/>
            </w:pPr>
            <w:r w:rsidDel="00000000" w:rsidR="00000000" w:rsidRPr="00000000">
              <w:rPr>
                <w:rtl w:val="0"/>
              </w:rPr>
              <w:t xml:space="preserve">Distribuisci a caso le carte riportanti i diversi ruoli (inclusi nelle note) oppure assegnali in modo alternativo.</w:t>
            </w:r>
          </w:p>
          <w:p w:rsidR="00000000" w:rsidDel="00000000" w:rsidP="00000000" w:rsidRDefault="00000000" w:rsidRPr="00000000" w14:paraId="00000053">
            <w:pPr>
              <w:widowControl w:val="0"/>
              <w:numPr>
                <w:ilvl w:val="0"/>
                <w:numId w:val="1"/>
              </w:numPr>
              <w:ind w:left="720" w:hanging="360"/>
              <w:rPr/>
            </w:pPr>
            <w:r w:rsidDel="00000000" w:rsidR="00000000" w:rsidRPr="00000000">
              <w:rPr>
                <w:rtl w:val="0"/>
              </w:rPr>
              <w:t xml:space="preserve">Il numero di carte deve combaciare con il numero di partecipanti in ciascun gruppo che si intende formare (ad es., prepara 5 carte illustranti 5 ruoli diversi per ciascun gruppo composto da 5 persone – ogni gruppo riceve gli stessi ruoli).</w:t>
            </w:r>
          </w:p>
          <w:p w:rsidR="00000000" w:rsidDel="00000000" w:rsidP="00000000" w:rsidRDefault="00000000" w:rsidRPr="00000000" w14:paraId="00000054">
            <w:pPr>
              <w:widowControl w:val="0"/>
              <w:numPr>
                <w:ilvl w:val="0"/>
                <w:numId w:val="1"/>
              </w:numPr>
              <w:ind w:left="720" w:hanging="360"/>
              <w:rPr/>
            </w:pPr>
            <w:r w:rsidDel="00000000" w:rsidR="00000000" w:rsidRPr="00000000">
              <w:rPr>
                <w:rtl w:val="0"/>
              </w:rPr>
              <w:t xml:space="preserve">Chiedi alle e ai partecipanti di trovare altre persone con ruoli complementari per formare un gruppo completo.</w:t>
            </w:r>
          </w:p>
          <w:p w:rsidR="00000000" w:rsidDel="00000000" w:rsidP="00000000" w:rsidRDefault="00000000" w:rsidRPr="00000000" w14:paraId="00000055">
            <w:pPr>
              <w:widowControl w:val="0"/>
              <w:numPr>
                <w:ilvl w:val="0"/>
                <w:numId w:val="1"/>
              </w:numPr>
              <w:ind w:left="720" w:hanging="360"/>
              <w:rPr/>
            </w:pPr>
            <w:r w:rsidDel="00000000" w:rsidR="00000000" w:rsidRPr="00000000">
              <w:rPr>
                <w:rtl w:val="0"/>
              </w:rPr>
              <w:t xml:space="preserve">Una volta formati i gruppi, spiega il significato di ciascun ruolo ai fini del lavoro di gruppo.</w:t>
            </w:r>
          </w:p>
          <w:p w:rsidR="00000000" w:rsidDel="00000000" w:rsidP="00000000" w:rsidRDefault="00000000" w:rsidRPr="00000000" w14:paraId="00000056">
            <w:pPr>
              <w:widowControl w:val="0"/>
              <w:numPr>
                <w:ilvl w:val="0"/>
                <w:numId w:val="1"/>
              </w:numPr>
              <w:ind w:left="720" w:hanging="360"/>
              <w:rPr/>
            </w:pPr>
            <w:r w:rsidDel="00000000" w:rsidR="00000000" w:rsidRPr="00000000">
              <w:rPr>
                <w:rtl w:val="0"/>
              </w:rPr>
              <w:t xml:space="preserve">Chiedi a ogni partecipante di presentarsi brevemente e di parlare di come si sentono a ricoprire quel ruolo di come immaginano di contribuire all’interno del gruppo.</w:t>
            </w:r>
          </w:p>
          <w:p w:rsidR="00000000" w:rsidDel="00000000" w:rsidP="00000000" w:rsidRDefault="00000000" w:rsidRPr="00000000" w14:paraId="00000057">
            <w:pPr>
              <w:widowControl w:val="0"/>
              <w:numPr>
                <w:ilvl w:val="0"/>
                <w:numId w:val="1"/>
              </w:numPr>
              <w:ind w:left="720" w:hanging="360"/>
              <w:rPr/>
            </w:pPr>
            <w:r w:rsidDel="00000000" w:rsidR="00000000" w:rsidRPr="00000000">
              <w:rPr>
                <w:rtl w:val="0"/>
              </w:rPr>
              <w:t xml:space="preserve">Ogni gruppo dovrebbe elaborare un piano di azione per sviluppare uno scenario di apprendimento. </w:t>
            </w:r>
          </w:p>
          <w:p w:rsidR="00000000" w:rsidDel="00000000" w:rsidP="00000000" w:rsidRDefault="00000000" w:rsidRPr="00000000" w14:paraId="00000058">
            <w:pPr>
              <w:widowControl w:val="0"/>
              <w:numPr>
                <w:ilvl w:val="0"/>
                <w:numId w:val="1"/>
              </w:numPr>
              <w:ind w:left="720" w:hanging="360"/>
              <w:rPr/>
            </w:pPr>
            <w:r w:rsidDel="00000000" w:rsidR="00000000" w:rsidRPr="00000000">
              <w:rPr>
                <w:rtl w:val="0"/>
              </w:rPr>
              <w:t xml:space="preserve">Infine, i gruppi possono mostrare i loro piani oppure la persona che facilita potrebbe condurre delle discussioni all’interno di ciascun gruppo e guidare la riflessione. </w:t>
            </w:r>
          </w:p>
          <w:p w:rsidR="00000000" w:rsidDel="00000000" w:rsidP="00000000" w:rsidRDefault="00000000" w:rsidRPr="00000000" w14:paraId="00000059">
            <w:pPr>
              <w:spacing w:after="200" w:lineRule="auto"/>
              <w:rPr/>
            </w:pPr>
            <w:r w:rsidDel="00000000" w:rsidR="00000000" w:rsidRPr="00000000">
              <w:rPr>
                <w:rtl w:val="0"/>
              </w:rPr>
            </w:r>
          </w:p>
          <w:p w:rsidR="00000000" w:rsidDel="00000000" w:rsidP="00000000" w:rsidRDefault="00000000" w:rsidRPr="00000000" w14:paraId="0000005A">
            <w:pPr>
              <w:spacing w:after="200" w:lineRule="auto"/>
              <w:rPr/>
            </w:pPr>
            <w:r w:rsidDel="00000000" w:rsidR="00000000" w:rsidRPr="00000000">
              <w:rPr>
                <w:b w:val="1"/>
                <w:rtl w:val="0"/>
              </w:rPr>
              <w:t xml:space="preserve">Risultato:</w:t>
            </w:r>
            <w:r w:rsidDel="00000000" w:rsidR="00000000" w:rsidRPr="00000000">
              <w:rPr>
                <w:rtl w:val="0"/>
              </w:rPr>
              <w:t xml:space="preserve"> le e i partecipanti sperimentano le fasi di sviluppo del gruppo e l’assegnazione dei ruoli. </w:t>
            </w:r>
          </w:p>
        </w:tc>
      </w:tr>
      <w:tr>
        <w:trPr>
          <w:cantSplit w:val="0"/>
          <w:trHeight w:val="417" w:hRule="atLeast"/>
          <w:tblHeader w:val="0"/>
        </w:trPr>
        <w:tc>
          <w:tcPr>
            <w:vMerge w:val="continue"/>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C">
            <w:pPr>
              <w:pStyle w:val="Heading3"/>
              <w:pBdr>
                <w:top w:space="0" w:sz="0" w:val="nil"/>
                <w:left w:space="0" w:sz="0" w:val="nil"/>
                <w:bottom w:space="0" w:sz="0" w:val="nil"/>
                <w:right w:space="0" w:sz="0" w:val="nil"/>
                <w:between w:space="0" w:sz="0" w:val="nil"/>
              </w:pBdr>
              <w:spacing w:after="80" w:before="280" w:lineRule="auto"/>
              <w:rPr>
                <w:i w:val="0"/>
                <w:u w:val="single"/>
              </w:rPr>
            </w:pPr>
            <w:bookmarkStart w:colFirst="0" w:colLast="0" w:name="_heading=h.blr3wp882fpu" w:id="2"/>
            <w:bookmarkEnd w:id="2"/>
            <w:r w:rsidDel="00000000" w:rsidR="00000000" w:rsidRPr="00000000">
              <w:rPr>
                <w:i w:val="0"/>
                <w:u w:val="single"/>
                <w:rtl w:val="0"/>
              </w:rPr>
              <w:t xml:space="preserve">Attività 3: Elementi chiave per lo sviluppo di scenari di apprendimento efficaci (45 min.) </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Slide 7-10</w:t>
            </w:r>
          </w:p>
          <w:p w:rsidR="00000000" w:rsidDel="00000000" w:rsidP="00000000" w:rsidRDefault="00000000" w:rsidRPr="00000000" w14:paraId="0000005F">
            <w:pPr>
              <w:spacing w:after="200" w:lineRule="auto"/>
              <w:rPr/>
            </w:pPr>
            <w:r w:rsidDel="00000000" w:rsidR="00000000" w:rsidRPr="00000000">
              <w:rPr>
                <w:rtl w:val="0"/>
              </w:rPr>
              <w:t xml:space="preserve">La formatrice o il formatore inizia spiegando gli elementi di uno scenario di apprendimento efficace, ovvero:  obiettivi chiari, coerenza con le finalità del programma, coinvolgimento delle e degli studenti e adattabilità. </w:t>
            </w:r>
          </w:p>
          <w:p w:rsidR="00000000" w:rsidDel="00000000" w:rsidP="00000000" w:rsidRDefault="00000000" w:rsidRPr="00000000" w14:paraId="00000060">
            <w:pPr>
              <w:spacing w:after="200" w:lineRule="auto"/>
              <w:rPr/>
            </w:pPr>
            <w:r w:rsidDel="00000000" w:rsidR="00000000" w:rsidRPr="00000000">
              <w:rPr>
                <w:rtl w:val="0"/>
              </w:rPr>
              <w:t xml:space="preserve">Successivamente, la formatrice o il formatore spiega la tassonomia di Bloom e il modo in cui essa contribuisca alla formulazione di obiettivi di apprendimento chiari. Per una maggiore comprensione, mostra immagini ed esempi. </w:t>
            </w:r>
          </w:p>
          <w:p w:rsidR="00000000" w:rsidDel="00000000" w:rsidP="00000000" w:rsidRDefault="00000000" w:rsidRPr="00000000" w14:paraId="00000061">
            <w:pPr>
              <w:spacing w:after="200" w:lineRule="auto"/>
              <w:rPr/>
            </w:pPr>
            <w:r w:rsidDel="00000000" w:rsidR="00000000" w:rsidRPr="00000000">
              <w:rPr>
                <w:rtl w:val="0"/>
              </w:rPr>
              <w:t xml:space="preserve">La formatrice o il formatore continua a spiegare l’allineamento alle finalità del programma. Alla fine, collega il modulo al modulo 1 e al modulo 2, relativi all’apprendimento autentico, fornendo degli esempi pratici. </w:t>
            </w:r>
          </w:p>
          <w:p w:rsidR="00000000" w:rsidDel="00000000" w:rsidP="00000000" w:rsidRDefault="00000000" w:rsidRPr="00000000" w14:paraId="00000062">
            <w:pPr>
              <w:spacing w:after="200" w:lineRule="auto"/>
              <w:rPr/>
            </w:pPr>
            <w:r w:rsidDel="00000000" w:rsidR="00000000" w:rsidRPr="00000000">
              <w:rPr>
                <w:rtl w:val="0"/>
              </w:rPr>
              <w:t xml:space="preserve">Quindi, passa al coinvolgimento delle e dei discenti e alla partecipazione attiva (collegate anch’esse all’apprendimento autentico). Prima mostra e spiega il diagramma, poi incoraggia una discussione ( 5 min.) con le e i docenti chiedendo loro di esprimere la propria opinione e di condividere le loro strategie di coinvolgimento delle e degli studenti. </w:t>
            </w:r>
          </w:p>
          <w:p w:rsidR="00000000" w:rsidDel="00000000" w:rsidP="00000000" w:rsidRDefault="00000000" w:rsidRPr="00000000" w14:paraId="00000063">
            <w:pPr>
              <w:spacing w:after="200" w:lineRule="auto"/>
              <w:rPr/>
            </w:pPr>
            <w:r w:rsidDel="00000000" w:rsidR="00000000" w:rsidRPr="00000000">
              <w:rPr>
                <w:rtl w:val="0"/>
              </w:rPr>
              <w:t xml:space="preserve">Infine, la formatrice o il formatore spiega cosa si intende per adattabilità nell’ambito di un piano di lezione e come possono migliorare questo aspetto. Quindi, mostra alle e ai partecipanti il diagramma e facilita una discussione su questo argomento (5 min.).</w:t>
            </w:r>
          </w:p>
          <w:p w:rsidR="00000000" w:rsidDel="00000000" w:rsidP="00000000" w:rsidRDefault="00000000" w:rsidRPr="00000000" w14:paraId="00000064">
            <w:pPr>
              <w:spacing w:after="200" w:lineRule="auto"/>
              <w:rPr/>
            </w:pPr>
            <w:r w:rsidDel="00000000" w:rsidR="00000000" w:rsidRPr="00000000">
              <w:rPr>
                <w:b w:val="1"/>
                <w:rtl w:val="0"/>
              </w:rPr>
              <w:t xml:space="preserve">Risultato:</w:t>
            </w:r>
            <w:r w:rsidDel="00000000" w:rsidR="00000000" w:rsidRPr="00000000">
              <w:rPr>
                <w:rtl w:val="0"/>
              </w:rPr>
              <w:t xml:space="preserve"> spiegare gli elementi che caratterizzano uno scenario di apprendimento efficace. </w:t>
            </w:r>
          </w:p>
        </w:tc>
      </w:tr>
      <w:tr>
        <w:trPr>
          <w:cantSplit w:val="0"/>
          <w:trHeight w:val="417" w:hRule="atLeast"/>
          <w:tblHeader w:val="0"/>
        </w:trPr>
        <w:tc>
          <w:tcPr/>
          <w:p w:rsidR="00000000" w:rsidDel="00000000" w:rsidP="00000000" w:rsidRDefault="00000000" w:rsidRPr="00000000" w14:paraId="00000065">
            <w:pPr>
              <w:rPr/>
            </w:pPr>
            <w:r w:rsidDel="00000000" w:rsidR="00000000" w:rsidRPr="00000000">
              <w:rPr>
                <w:rtl w:val="0"/>
              </w:rPr>
              <w:t xml:space="preserve">Valutazione</w:t>
            </w:r>
          </w:p>
        </w:tc>
        <w:tc>
          <w:tcPr/>
          <w:p w:rsidR="00000000" w:rsidDel="00000000" w:rsidP="00000000" w:rsidRDefault="00000000" w:rsidRPr="00000000" w14:paraId="00000066">
            <w:pPr>
              <w:rPr/>
            </w:pPr>
            <w:r w:rsidDel="00000000" w:rsidR="00000000" w:rsidRPr="00000000">
              <w:rPr>
                <w:rtl w:val="0"/>
              </w:rPr>
              <w:t xml:space="preserve">/</w:t>
            </w:r>
          </w:p>
        </w:tc>
      </w:tr>
    </w:tbl>
    <w:p w:rsidR="00000000" w:rsidDel="00000000" w:rsidP="00000000" w:rsidRDefault="00000000" w:rsidRPr="00000000" w14:paraId="00000067">
      <w:pPr>
        <w:tabs>
          <w:tab w:val="left" w:leader="none" w:pos="1620"/>
        </w:tabs>
        <w:rPr/>
      </w:pPr>
      <w:r w:rsidDel="00000000" w:rsidR="00000000" w:rsidRPr="00000000">
        <w:rPr>
          <w:rtl w:val="0"/>
        </w:rPr>
      </w:r>
    </w:p>
    <w:p w:rsidR="00000000" w:rsidDel="00000000" w:rsidP="00000000" w:rsidRDefault="00000000" w:rsidRPr="00000000" w14:paraId="00000068">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0"/>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69">
            <w:pPr>
              <w:rPr>
                <w:color w:val="f2f2f2"/>
                <w:sz w:val="24"/>
                <w:szCs w:val="24"/>
              </w:rPr>
            </w:pPr>
            <w:r w:rsidDel="00000000" w:rsidR="00000000" w:rsidRPr="00000000">
              <w:rPr>
                <w:color w:val="f2f2f2"/>
                <w:sz w:val="24"/>
                <w:szCs w:val="24"/>
                <w:rtl w:val="0"/>
              </w:rPr>
              <w:t xml:space="preserve">INSEGNAMENTI CHIAVE</w:t>
            </w:r>
          </w:p>
        </w:tc>
      </w:tr>
      <w:tr>
        <w:trPr>
          <w:cantSplit w:val="0"/>
          <w:trHeight w:val="410" w:hRule="atLeast"/>
          <w:tblHeader w:val="0"/>
        </w:trPr>
        <w:tc>
          <w:tcPr/>
          <w:p w:rsidR="00000000" w:rsidDel="00000000" w:rsidP="00000000" w:rsidRDefault="00000000" w:rsidRPr="00000000" w14:paraId="0000006B">
            <w:pPr>
              <w:rPr>
                <w:color w:val="f2f2f2"/>
                <w:sz w:val="24"/>
                <w:szCs w:val="24"/>
              </w:rPr>
            </w:pPr>
            <w:bookmarkStart w:colFirst="0" w:colLast="0" w:name="_heading=h.c8x5fbpzhk50" w:id="3"/>
            <w:bookmarkEnd w:id="3"/>
            <w:r w:rsidDel="00000000" w:rsidR="00000000" w:rsidRPr="00000000">
              <w:rPr>
                <w:rtl w:val="0"/>
              </w:rPr>
              <w:t xml:space="preserve">Riflessioni e conclusione</w:t>
            </w:r>
            <w:r w:rsidDel="00000000" w:rsidR="00000000" w:rsidRPr="00000000">
              <w:rPr>
                <w:rtl w:val="0"/>
              </w:rPr>
            </w:r>
          </w:p>
        </w:tc>
        <w:tc>
          <w:tcPr/>
          <w:p w:rsidR="00000000" w:rsidDel="00000000" w:rsidP="00000000" w:rsidRDefault="00000000" w:rsidRPr="00000000" w14:paraId="0000006C">
            <w:pPr>
              <w:spacing w:after="16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6D">
            <w:pPr>
              <w:rPr/>
            </w:pPr>
            <w:r w:rsidDel="00000000" w:rsidR="00000000" w:rsidRPr="00000000">
              <w:rPr>
                <w:rtl w:val="0"/>
              </w:rPr>
              <w:t xml:space="preserve">Compiti aggiuntivi</w:t>
            </w:r>
          </w:p>
        </w:tc>
        <w:tc>
          <w:tcPr/>
          <w:p w:rsidR="00000000" w:rsidDel="00000000" w:rsidP="00000000" w:rsidRDefault="00000000" w:rsidRPr="00000000" w14:paraId="0000006E">
            <w:pPr>
              <w:rPr/>
            </w:pPr>
            <w:r w:rsidDel="00000000" w:rsidR="00000000" w:rsidRPr="00000000">
              <w:rPr>
                <w:rtl w:val="0"/>
              </w:rPr>
            </w:r>
          </w:p>
        </w:tc>
      </w:tr>
    </w:tbl>
    <w:p w:rsidR="00000000" w:rsidDel="00000000" w:rsidP="00000000" w:rsidRDefault="00000000" w:rsidRPr="00000000" w14:paraId="0000006F">
      <w:pPr>
        <w:rPr>
          <w:i w:val="1"/>
        </w:rPr>
      </w:pPr>
      <w:r w:rsidDel="00000000" w:rsidR="00000000" w:rsidRPr="00000000">
        <w:rPr>
          <w:rtl w:val="0"/>
        </w:rPr>
      </w:r>
    </w:p>
    <w:p w:rsidR="00000000" w:rsidDel="00000000" w:rsidP="00000000" w:rsidRDefault="00000000" w:rsidRPr="00000000" w14:paraId="00000070">
      <w:pPr>
        <w:tabs>
          <w:tab w:val="left" w:leader="none" w:pos="1620"/>
        </w:tabs>
        <w:spacing w:after="0" w:lineRule="auto"/>
        <w:rPr/>
      </w:pPr>
      <w:r w:rsidDel="00000000" w:rsidR="00000000" w:rsidRPr="00000000">
        <w:rPr>
          <w:rtl w:val="0"/>
        </w:rPr>
      </w:r>
    </w:p>
    <w:p w:rsidR="00000000" w:rsidDel="00000000" w:rsidP="00000000" w:rsidRDefault="00000000" w:rsidRPr="00000000" w14:paraId="00000071">
      <w:pPr>
        <w:tabs>
          <w:tab w:val="left" w:leader="none" w:pos="1620"/>
        </w:tabs>
        <w:rPr/>
      </w:pPr>
      <w:r w:rsidDel="00000000" w:rsidR="00000000" w:rsidRPr="00000000">
        <w:rPr>
          <w:rtl w:val="0"/>
        </w:rPr>
      </w:r>
    </w:p>
    <w:p w:rsidR="00000000" w:rsidDel="00000000" w:rsidP="00000000" w:rsidRDefault="00000000" w:rsidRPr="00000000" w14:paraId="00000072">
      <w:pPr>
        <w:tabs>
          <w:tab w:val="left" w:leader="none" w:pos="1620"/>
        </w:tabs>
        <w:spacing w:after="0" w:lineRule="auto"/>
        <w:rPr/>
      </w:pPr>
      <w:r w:rsidDel="00000000" w:rsidR="00000000" w:rsidRPr="00000000">
        <w:rPr>
          <w:rtl w:val="0"/>
        </w:rPr>
      </w:r>
    </w:p>
    <w:p w:rsidR="00000000" w:rsidDel="00000000" w:rsidP="00000000" w:rsidRDefault="00000000" w:rsidRPr="00000000" w14:paraId="00000073">
      <w:pPr>
        <w:tabs>
          <w:tab w:val="left" w:leader="none" w:pos="1620"/>
        </w:tabs>
        <w:rPr/>
      </w:pPr>
      <w:r w:rsidDel="00000000" w:rsidR="00000000" w:rsidRPr="00000000">
        <w:rPr>
          <w:rtl w:val="0"/>
        </w:rPr>
      </w:r>
    </w:p>
    <w:p w:rsidR="00000000" w:rsidDel="00000000" w:rsidP="00000000" w:rsidRDefault="00000000" w:rsidRPr="00000000" w14:paraId="00000074">
      <w:pPr>
        <w:rPr>
          <w:i w:val="1"/>
        </w:rPr>
      </w:pPr>
      <w:r w:rsidDel="00000000" w:rsidR="00000000" w:rsidRPr="00000000">
        <w:rPr>
          <w:rtl w:val="0"/>
        </w:rPr>
      </w:r>
    </w:p>
    <w:sectPr>
      <w:headerReference r:id="rId11" w:type="default"/>
      <w:footerReference r:id="rId12"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647700</wp:posOffset>
              </wp:positionH>
              <wp:positionV relativeFrom="paragraph">
                <wp:posOffset>0</wp:posOffset>
              </wp:positionV>
              <wp:extent cx="5586095" cy="838200"/>
              <wp:effectExtent b="0" l="0" r="0" t="0"/>
              <wp:wrapNone/>
              <wp:docPr id="1597007113"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647700</wp:posOffset>
              </wp:positionH>
              <wp:positionV relativeFrom="paragraph">
                <wp:posOffset>0</wp:posOffset>
              </wp:positionV>
              <wp:extent cx="5586095" cy="838200"/>
              <wp:effectExtent b="0" l="0" r="0" t="0"/>
              <wp:wrapNone/>
              <wp:docPr id="1597007113"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586095" cy="8382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-645771</wp:posOffset>
          </wp:positionH>
          <wp:positionV relativeFrom="paragraph">
            <wp:posOffset>144780</wp:posOffset>
          </wp:positionV>
          <wp:extent cx="1311570" cy="506095"/>
          <wp:effectExtent b="0" l="0" r="0" t="0"/>
          <wp:wrapNone/>
          <wp:docPr id="1597007116"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77">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https://tinker-project.eu/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it"/>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Intestazione">
    <w:name w:val="header"/>
    <w:basedOn w:val="Normale"/>
    <w:link w:val="IntestazioneCarattere"/>
    <w:uiPriority w:val="99"/>
    <w:unhideWhenUsed w:val="1"/>
    <w:rsid w:val="000E72EE"/>
    <w:pPr>
      <w:tabs>
        <w:tab w:val="center" w:pos="4680"/>
        <w:tab w:val="right" w:pos="9360"/>
      </w:tabs>
      <w:spacing w:after="0" w:line="240" w:lineRule="auto"/>
    </w:pPr>
  </w:style>
  <w:style w:type="character" w:styleId="IntestazioneCarattere" w:customStyle="1">
    <w:name w:val="Intestazione Carattere"/>
    <w:basedOn w:val="Carpredefinitoparagrafo"/>
    <w:link w:val="Intestazione"/>
    <w:uiPriority w:val="99"/>
    <w:rsid w:val="000E72EE"/>
  </w:style>
  <w:style w:type="paragraph" w:styleId="Pidipagina">
    <w:name w:val="footer"/>
    <w:basedOn w:val="Normale"/>
    <w:link w:val="PidipaginaCarattere"/>
    <w:uiPriority w:val="99"/>
    <w:unhideWhenUsed w:val="1"/>
    <w:rsid w:val="000E72EE"/>
    <w:pPr>
      <w:tabs>
        <w:tab w:val="center" w:pos="4680"/>
        <w:tab w:val="right" w:pos="9360"/>
      </w:tabs>
      <w:spacing w:after="0" w:line="240" w:lineRule="auto"/>
    </w:pPr>
  </w:style>
  <w:style w:type="character" w:styleId="PidipaginaCarattere" w:customStyle="1">
    <w:name w:val="Piè di pagina Carattere"/>
    <w:basedOn w:val="Carpredefinitoparagrafo"/>
    <w:link w:val="Pidipagina"/>
    <w:uiPriority w:val="99"/>
    <w:rsid w:val="000E72EE"/>
  </w:style>
  <w:style w:type="character" w:styleId="Titolo1Carattere" w:customStyle="1">
    <w:name w:val="Titolo 1 Carattere"/>
    <w:basedOn w:val="Carpredefinitoparagrafo"/>
    <w:link w:val="Titolo1"/>
    <w:uiPriority w:val="9"/>
    <w:rsid w:val="001C523D"/>
    <w:rPr>
      <w:rFonts w:ascii="Calibri" w:hAnsi="Calibri"/>
      <w:b w:val="1"/>
      <w:color w:val="16c45b" w:themeColor="accent6"/>
      <w:sz w:val="36"/>
      <w:szCs w:val="36"/>
    </w:rPr>
  </w:style>
  <w:style w:type="character" w:styleId="Titolo2Carattere" w:customStyle="1">
    <w:name w:val="Titolo 2 Carattere"/>
    <w:basedOn w:val="Carpredefinitoparagrafo"/>
    <w:link w:val="Titolo2"/>
    <w:uiPriority w:val="9"/>
    <w:rsid w:val="00986B82"/>
    <w:rPr>
      <w:rFonts w:ascii="Calibri" w:hAnsi="Calibri"/>
      <w:b w:val="1"/>
      <w:color w:val="16c45b" w:themeColor="accent3"/>
      <w:sz w:val="28"/>
      <w:szCs w:val="32"/>
    </w:rPr>
  </w:style>
  <w:style w:type="character" w:styleId="Titolo3Carattere" w:customStyle="1">
    <w:name w:val="Titolo 3 Carattere"/>
    <w:basedOn w:val="Carpredefinitoparagrafo"/>
    <w:link w:val="Titolo3"/>
    <w:uiPriority w:val="9"/>
    <w:rsid w:val="00986B82"/>
    <w:rPr>
      <w:rFonts w:ascii="Calibri" w:hAnsi="Calibri"/>
      <w:b w:val="1"/>
      <w:i w:val="1"/>
      <w:color w:val="1d1d1b" w:themeColor="accent2"/>
      <w:sz w:val="26"/>
      <w:szCs w:val="28"/>
    </w:rPr>
  </w:style>
  <w:style w:type="character" w:styleId="Titolo4Carattere" w:customStyle="1">
    <w:name w:val="Titolo 4 Carattere"/>
    <w:basedOn w:val="Carpredefinitoparagrafo"/>
    <w:link w:val="Titolo4"/>
    <w:uiPriority w:val="9"/>
    <w:rsid w:val="00986B82"/>
    <w:rPr>
      <w:rFonts w:ascii="Calibri" w:hAnsi="Calibri"/>
      <w:b w:val="1"/>
      <w:i w:val="1"/>
      <w:color w:val="2b454e" w:themeColor="accent4"/>
      <w:sz w:val="24"/>
      <w:szCs w:val="28"/>
    </w:rPr>
  </w:style>
  <w:style w:type="paragraph" w:styleId="Paragrafoelenco">
    <w:name w:val="List Paragraph"/>
    <w:basedOn w:val="Normale"/>
    <w:uiPriority w:val="34"/>
    <w:qFormat w:val="1"/>
    <w:rsid w:val="00B22564"/>
    <w:pPr>
      <w:ind w:left="720"/>
      <w:contextualSpacing w:val="1"/>
    </w:pPr>
  </w:style>
  <w:style w:type="table" w:styleId="Grigliatabella">
    <w:name w:val="Table Grid"/>
    <w:basedOn w:val="Tabellanormale"/>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llegamentoipertestuale">
    <w:name w:val="Hyperlink"/>
    <w:basedOn w:val="Carpredefinitoparagrafo"/>
    <w:uiPriority w:val="99"/>
    <w:unhideWhenUsed w:val="1"/>
    <w:rsid w:val="001C523D"/>
    <w:rPr>
      <w:color w:val="16c45b" w:themeColor="hyperlink"/>
      <w:u w:val="single"/>
    </w:rPr>
  </w:style>
  <w:style w:type="paragraph" w:styleId="Sommario1">
    <w:name w:val="toc 1"/>
    <w:basedOn w:val="Normale"/>
    <w:next w:val="Normale"/>
    <w:autoRedefine w:val="1"/>
    <w:uiPriority w:val="39"/>
    <w:unhideWhenUsed w:val="1"/>
    <w:rsid w:val="00986B82"/>
    <w:pPr>
      <w:spacing w:after="100"/>
    </w:pPr>
    <w:rPr>
      <w:rFonts w:asciiTheme="minorHAnsi" w:hAnsiTheme="minorHAnsi"/>
      <w:b w:val="1"/>
      <w:color w:val="16c45b" w:themeColor="accent6"/>
      <w:sz w:val="36"/>
    </w:rPr>
  </w:style>
  <w:style w:type="paragraph" w:styleId="Sommario2">
    <w:name w:val="toc 2"/>
    <w:basedOn w:val="Normale"/>
    <w:next w:val="Normale"/>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Sommario3">
    <w:name w:val="toc 3"/>
    <w:basedOn w:val="Normale"/>
    <w:next w:val="Normale"/>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eWeb">
    <w:name w:val="Normal (Web)"/>
    <w:basedOn w:val="Normale"/>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Titolo5Carattere" w:customStyle="1">
    <w:name w:val="Titolo 5 Carattere"/>
    <w:basedOn w:val="Carpredefinitoparagrafo"/>
    <w:link w:val="Titolo5"/>
    <w:uiPriority w:val="9"/>
    <w:rsid w:val="00986B82"/>
    <w:rPr>
      <w:rFonts w:ascii="Calibri" w:hAnsi="Calibri" w:cstheme="majorBidi" w:eastAsiaTheme="majorEastAsia"/>
      <w:color w:val="16c45b" w:themeColor="accent6"/>
    </w:rPr>
  </w:style>
  <w:style w:type="paragraph" w:styleId="Sommario4">
    <w:name w:val="toc 4"/>
    <w:basedOn w:val="Normale"/>
    <w:next w:val="Normale"/>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Sommario5">
    <w:name w:val="toc 5"/>
    <w:basedOn w:val="Normale"/>
    <w:next w:val="Normale"/>
    <w:autoRedefine w:val="1"/>
    <w:uiPriority w:val="39"/>
    <w:semiHidden w:val="1"/>
    <w:unhideWhenUsed w:val="1"/>
    <w:rsid w:val="00CA7C55"/>
    <w:pPr>
      <w:spacing w:after="100"/>
      <w:ind w:left="880"/>
    </w:pPr>
    <w:rPr>
      <w:rFonts w:asciiTheme="minorHAnsi" w:hAnsiTheme="minorHAnsi"/>
      <w:color w:val="16c45b" w:themeColor="accent6"/>
    </w:rPr>
  </w:style>
  <w:style w:type="paragraph" w:styleId="Nessunaspaziatura">
    <w:name w:val="No Spacing"/>
    <w:uiPriority w:val="1"/>
    <w:qFormat w:val="1"/>
    <w:rsid w:val="00BF096B"/>
    <w:pPr>
      <w:spacing w:after="0" w:line="240" w:lineRule="auto"/>
    </w:pPr>
    <w:rPr>
      <w:color w:val="1d1d1b" w:themeColor="text1"/>
    </w:rPr>
  </w:style>
  <w:style w:type="table" w:styleId="Tabellagriglia1chiara-colore6">
    <w:name w:val="Grid Table 1 Light Accent 6"/>
    <w:basedOn w:val="Tabellanormale"/>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Tabellagriglia5scura-colore6">
    <w:name w:val="Grid Table 5 Dark Accent 6"/>
    <w:basedOn w:val="Tabellanormale"/>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Titolo6Carattere" w:customStyle="1">
    <w:name w:val="Titolo 6 Carattere"/>
    <w:basedOn w:val="Carpredefinitoparagrafo"/>
    <w:link w:val="Titolo6"/>
    <w:uiPriority w:val="9"/>
    <w:semiHidden w:val="1"/>
    <w:rsid w:val="00BF096B"/>
    <w:rPr>
      <w:rFonts w:ascii="Calibri" w:hAnsi="Calibri" w:cstheme="majorBidi" w:eastAsiaTheme="majorEastAsia"/>
      <w:color w:val="0b612d" w:themeColor="accent1" w:themeShade="00007F"/>
    </w:rPr>
  </w:style>
  <w:style w:type="table" w:styleId="Tabellagriglia4-colore1">
    <w:name w:val="Grid Table 4 Accent 1"/>
    <w:basedOn w:val="Tabellanormale"/>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Collegamentovisitato">
    <w:name w:val="FollowedHyperlink"/>
    <w:basedOn w:val="Carpredefinitoparagrafo"/>
    <w:uiPriority w:val="99"/>
    <w:semiHidden w:val="1"/>
    <w:unhideWhenUsed w:val="1"/>
    <w:rsid w:val="00405D90"/>
    <w:rPr>
      <w:color w:val="16c45b" w:themeColor="followedHyperlink"/>
      <w:u w:val="single"/>
    </w:rPr>
  </w:style>
  <w:style w:type="paragraph" w:styleId="Style1" w:customStyle="1">
    <w:name w:val="Style1"/>
    <w:basedOn w:val="Normale"/>
    <w:qFormat w:val="1"/>
    <w:rsid w:val="001C523D"/>
    <w:pPr>
      <w:jc w:val="right"/>
    </w:pPr>
    <w:rPr>
      <w:color w:val="16c45b" w:themeColor="accent3"/>
    </w:rPr>
  </w:style>
  <w:style w:type="character" w:styleId="UnresolvedMention1" w:customStyle="1">
    <w:name w:val="Unresolved Mention1"/>
    <w:basedOn w:val="Carpredefinitoparagrafo"/>
    <w:uiPriority w:val="99"/>
    <w:semiHidden w:val="1"/>
    <w:unhideWhenUsed w:val="1"/>
    <w:rsid w:val="001C523D"/>
    <w:rPr>
      <w:color w:val="605e5c"/>
      <w:shd w:color="auto" w:fill="e1dfdd" w:val="clear"/>
    </w:rPr>
  </w:style>
  <w:style w:type="table" w:styleId="Tabellagriglia4-colore2">
    <w:name w:val="Grid Table 4 Accent 2"/>
    <w:basedOn w:val="Tabellanormale"/>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Tabellagriglia4-colore4">
    <w:name w:val="Grid Table 4 Accent 4"/>
    <w:basedOn w:val="Tabellanormale"/>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Tabellagriglia4-colore3">
    <w:name w:val="Grid Table 4 Accent 3"/>
    <w:basedOn w:val="Tabellanormale"/>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itolosommario">
    <w:name w:val="TOC Heading"/>
    <w:basedOn w:val="Titolo1"/>
    <w:next w:val="Normale"/>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paragraph" w:styleId="Testocommento">
    <w:name w:val="annotation text"/>
    <w:basedOn w:val="Normale"/>
    <w:link w:val="TestocommentoCarattere"/>
    <w:uiPriority w:val="99"/>
    <w:semiHidden w:val="1"/>
    <w:unhideWhenUsed w:val="1"/>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Pr>
      <w:color w:val="1d1d1b" w:themeColor="text1"/>
      <w:sz w:val="20"/>
      <w:szCs w:val="20"/>
    </w:rPr>
  </w:style>
  <w:style w:type="character" w:styleId="Rimandocommento">
    <w:name w:val="annotation reference"/>
    <w:basedOn w:val="Carpredefinitoparagrafo"/>
    <w:uiPriority w:val="99"/>
    <w:semiHidden w:val="1"/>
    <w:unhideWhenUsed w:val="1"/>
    <w:rPr>
      <w:sz w:val="16"/>
      <w:szCs w:val="16"/>
    </w:rPr>
  </w:style>
  <w:style w:type="table" w:styleId="affffff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image" Target="media/image3.jpg"/><Relationship Id="rId12" Type="http://schemas.openxmlformats.org/officeDocument/2006/relationships/footer" Target="footer1.xml"/><Relationship Id="rId9" Type="http://schemas.openxmlformats.org/officeDocument/2006/relationships/image" Target="media/image7.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CgwIEQAGkloe1lLHnVQABZYy2Q==">CgMxLjAyDmgud2YzdWc5anUwczNnMg5oLmtzdWh4cHNlcjR3cjIOaC5ibHIzd3A4ODJmcHUyDmguYzh4NWZicHpoazUwOAByITFKQjBwcUZ3eEJNOUVHX180UWhsekh5ajMyRl9KOWFDMg==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2024-11-19T18:10:00Z</dcterms:created>
  <dc:creator>Helen</dc:creator>
</cp:coreProperties>
</file>